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8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305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0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0715B">
              <w:rPr>
                <w:rFonts w:ascii="Times New Roman" w:eastAsia="Calibri" w:hAnsi="Times New Roman" w:cs="Times New Roman"/>
                <w:sz w:val="24"/>
                <w:szCs w:val="24"/>
              </w:rPr>
              <w:t>3 612 602,3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15 407,7</w:t>
            </w:r>
          </w:p>
        </w:tc>
        <w:tc>
          <w:tcPr>
            <w:tcW w:w="733" w:type="pct"/>
          </w:tcPr>
          <w:p w:rsidR="00606B0B" w:rsidRPr="002B2D8D" w:rsidRDefault="0053017C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63 811,3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115 414,0</w:t>
            </w:r>
          </w:p>
        </w:tc>
        <w:tc>
          <w:tcPr>
            <w:tcW w:w="733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 005,9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3 612 602,3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3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363B7">
              <w:rPr>
                <w:rFonts w:ascii="Times New Roman" w:hAnsi="Times New Roman" w:cs="Times New Roman"/>
                <w:sz w:val="24"/>
                <w:szCs w:val="24"/>
              </w:rPr>
              <w:t>2 964 179,0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49 603,6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2 964 179,0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49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496899">
              <w:rPr>
                <w:rFonts w:ascii="Times New Roman" w:hAnsi="Times New Roman" w:cs="Times New Roman"/>
                <w:sz w:val="24"/>
                <w:szCs w:val="24"/>
              </w:rPr>
              <w:t>648 423,3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90 874,3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648 423,3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8945E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63 811,3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15 407,7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49 603,6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45 343,7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1 195,7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43 281,8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5F5C77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48 703,6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44 443,7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866,2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43 281,8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5F5C77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21 678,6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17 418,7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16 797,3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4 174,7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  <w:bookmarkStart w:id="0" w:name="_GoBack"/>
            <w:bookmarkEnd w:id="0"/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C56F3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признании дома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C56F3B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C56F3B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C56F3B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Валявкина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Ярославская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Северодвинская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Суфтина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(кроме частей кв. 1,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росреестр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Новгородский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Партизанская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Бергавинова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Прокашева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Сибирская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Дежнёвцев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4F" w:rsidRDefault="0040714F">
      <w:pPr>
        <w:spacing w:after="0" w:line="240" w:lineRule="auto"/>
      </w:pPr>
      <w:r>
        <w:separator/>
      </w:r>
    </w:p>
  </w:endnote>
  <w:endnote w:type="continuationSeparator" w:id="0">
    <w:p w:rsidR="0040714F" w:rsidRDefault="0040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4F" w:rsidRDefault="0040714F">
      <w:pPr>
        <w:spacing w:after="0" w:line="240" w:lineRule="auto"/>
      </w:pPr>
      <w:r>
        <w:separator/>
      </w:r>
    </w:p>
  </w:footnote>
  <w:footnote w:type="continuationSeparator" w:id="0">
    <w:p w:rsidR="0040714F" w:rsidRDefault="0040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496899">
          <w:rPr>
            <w:rFonts w:ascii="Times New Roman" w:hAnsi="Times New Roman" w:cs="Times New Roman"/>
            <w:noProof/>
            <w:sz w:val="28"/>
          </w:rPr>
          <w:t>7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1E26ED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39"/>
  </w:num>
  <w:num w:numId="7">
    <w:abstractNumId w:val="5"/>
  </w:num>
  <w:num w:numId="8">
    <w:abstractNumId w:val="20"/>
  </w:num>
  <w:num w:numId="9">
    <w:abstractNumId w:val="40"/>
  </w:num>
  <w:num w:numId="10">
    <w:abstractNumId w:val="8"/>
  </w:num>
  <w:num w:numId="11">
    <w:abstractNumId w:val="26"/>
  </w:num>
  <w:num w:numId="12">
    <w:abstractNumId w:val="32"/>
  </w:num>
  <w:num w:numId="13">
    <w:abstractNumId w:val="35"/>
  </w:num>
  <w:num w:numId="14">
    <w:abstractNumId w:val="14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9"/>
  </w:num>
  <w:num w:numId="20">
    <w:abstractNumId w:val="31"/>
  </w:num>
  <w:num w:numId="21">
    <w:abstractNumId w:val="38"/>
  </w:num>
  <w:num w:numId="22">
    <w:abstractNumId w:val="36"/>
  </w:num>
  <w:num w:numId="23">
    <w:abstractNumId w:val="25"/>
  </w:num>
  <w:num w:numId="24">
    <w:abstractNumId w:val="10"/>
  </w:num>
  <w:num w:numId="25">
    <w:abstractNumId w:val="1"/>
  </w:num>
  <w:num w:numId="26">
    <w:abstractNumId w:val="23"/>
  </w:num>
  <w:num w:numId="27">
    <w:abstractNumId w:val="19"/>
  </w:num>
  <w:num w:numId="28">
    <w:abstractNumId w:val="7"/>
  </w:num>
  <w:num w:numId="29">
    <w:abstractNumId w:val="37"/>
  </w:num>
  <w:num w:numId="30">
    <w:abstractNumId w:val="28"/>
  </w:num>
  <w:num w:numId="31">
    <w:abstractNumId w:val="4"/>
  </w:num>
  <w:num w:numId="32">
    <w:abstractNumId w:val="34"/>
  </w:num>
  <w:num w:numId="33">
    <w:abstractNumId w:val="13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2"/>
  </w:num>
  <w:num w:numId="39">
    <w:abstractNumId w:val="11"/>
  </w:num>
  <w:num w:numId="40">
    <w:abstractNumId w:val="0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4679-176E-4AFA-AED6-25A5DB91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65</Pages>
  <Words>14917</Words>
  <Characters>85032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Юлия Николаевна Шашко</cp:lastModifiedBy>
  <cp:revision>84</cp:revision>
  <cp:lastPrinted>2021-05-28T07:47:00Z</cp:lastPrinted>
  <dcterms:created xsi:type="dcterms:W3CDTF">2024-01-26T08:46:00Z</dcterms:created>
  <dcterms:modified xsi:type="dcterms:W3CDTF">2024-09-04T07:22:00Z</dcterms:modified>
</cp:coreProperties>
</file>